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A5" w:rsidRPr="00D658D5" w:rsidRDefault="00EC03A5" w:rsidP="007A4A8C">
      <w:pPr>
        <w:spacing w:after="0"/>
        <w:rPr>
          <w:b/>
          <w:sz w:val="16"/>
        </w:rPr>
      </w:pPr>
    </w:p>
    <w:p w:rsidR="00DB5054" w:rsidRDefault="00DC4C91" w:rsidP="000B01A4">
      <w:pPr>
        <w:pStyle w:val="ListParagraph"/>
        <w:numPr>
          <w:ilvl w:val="0"/>
          <w:numId w:val="1"/>
        </w:numPr>
        <w:spacing w:after="0"/>
      </w:pPr>
      <w:r w:rsidRPr="00BE0DBD">
        <w:t>Working group n</w:t>
      </w:r>
      <w:r w:rsidR="000B01A4" w:rsidRPr="00BE0DBD">
        <w:t>ame:</w:t>
      </w:r>
      <w:r w:rsidR="00316E2B" w:rsidRPr="00BE0DBD">
        <w:t xml:space="preserve">  </w:t>
      </w:r>
    </w:p>
    <w:p w:rsidR="00DB5054" w:rsidRDefault="00DB5054" w:rsidP="00DB5054">
      <w:pPr>
        <w:pStyle w:val="ListParagraph"/>
        <w:spacing w:after="0"/>
      </w:pPr>
    </w:p>
    <w:p w:rsidR="000B01A4" w:rsidRPr="00DB5054" w:rsidRDefault="00316E2B" w:rsidP="007D0683">
      <w:pPr>
        <w:pStyle w:val="ListParagraph"/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Consumer Safety and Education Work Group –</w:t>
      </w:r>
      <w:r w:rsidR="007F16D4" w:rsidRPr="00DB5054">
        <w:rPr>
          <w:i/>
          <w:color w:val="0000FF"/>
        </w:rPr>
        <w:t xml:space="preserve"> Education Subcommittee</w:t>
      </w:r>
    </w:p>
    <w:p w:rsidR="000B01A4" w:rsidRPr="00BE0DBD" w:rsidRDefault="000B01A4" w:rsidP="000B01A4">
      <w:pPr>
        <w:pStyle w:val="ListParagraph"/>
        <w:spacing w:after="0"/>
      </w:pPr>
    </w:p>
    <w:p w:rsidR="00DB5054" w:rsidRDefault="00DC4C91" w:rsidP="007A4A8C">
      <w:pPr>
        <w:pStyle w:val="ListParagraph"/>
        <w:numPr>
          <w:ilvl w:val="0"/>
          <w:numId w:val="1"/>
        </w:numPr>
        <w:spacing w:after="0"/>
      </w:pPr>
      <w:r w:rsidRPr="00BE0DBD">
        <w:t>Individual s</w:t>
      </w:r>
      <w:r w:rsidR="00316E2B" w:rsidRPr="00BE0DBD">
        <w:t xml:space="preserve">ponsor(s):  </w:t>
      </w:r>
    </w:p>
    <w:p w:rsidR="00DB5054" w:rsidRDefault="00DB5054" w:rsidP="00DB5054">
      <w:pPr>
        <w:pStyle w:val="ListParagraph"/>
        <w:spacing w:after="0"/>
      </w:pPr>
    </w:p>
    <w:p w:rsidR="00A26CD2" w:rsidRDefault="00316E2B" w:rsidP="007D0683">
      <w:pPr>
        <w:pStyle w:val="ListParagraph"/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 xml:space="preserve">Linda Lang, </w:t>
      </w:r>
      <w:r w:rsidR="00777C95" w:rsidRPr="00777C95">
        <w:rPr>
          <w:i/>
          <w:color w:val="0000FF"/>
        </w:rPr>
        <w:t>NV Statewide Coalition Partnership</w:t>
      </w:r>
    </w:p>
    <w:p w:rsidR="00A26CD2" w:rsidRDefault="00316E2B" w:rsidP="007D0683">
      <w:pPr>
        <w:pStyle w:val="ListParagraph"/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 xml:space="preserve">John Packham, </w:t>
      </w:r>
      <w:r w:rsidR="00777C95" w:rsidRPr="00777C95">
        <w:rPr>
          <w:i/>
          <w:color w:val="0000FF"/>
        </w:rPr>
        <w:t>Director of Health Policy Research at the UNR School of Medicine</w:t>
      </w:r>
    </w:p>
    <w:p w:rsidR="00A26CD2" w:rsidRDefault="00316E2B" w:rsidP="007D0683">
      <w:pPr>
        <w:pStyle w:val="ListParagraph"/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 xml:space="preserve">Jen </w:t>
      </w:r>
      <w:proofErr w:type="spellStart"/>
      <w:r w:rsidRPr="00DB5054">
        <w:rPr>
          <w:i/>
          <w:color w:val="0000FF"/>
        </w:rPr>
        <w:t>Solas</w:t>
      </w:r>
      <w:proofErr w:type="spellEnd"/>
      <w:r w:rsidRPr="00DB5054">
        <w:rPr>
          <w:i/>
          <w:color w:val="0000FF"/>
        </w:rPr>
        <w:t xml:space="preserve">, </w:t>
      </w:r>
      <w:r w:rsidR="00777C95" w:rsidRPr="00777C95">
        <w:rPr>
          <w:i/>
          <w:color w:val="0000FF"/>
        </w:rPr>
        <w:t>Wellness Education Cannabis Advocates of Nevada</w:t>
      </w:r>
    </w:p>
    <w:p w:rsidR="007746E2" w:rsidRPr="00DB5054" w:rsidRDefault="00316E2B" w:rsidP="007D0683">
      <w:pPr>
        <w:pStyle w:val="ListParagraph"/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Michelle Berry</w:t>
      </w:r>
      <w:r w:rsidR="00A26CD2">
        <w:rPr>
          <w:i/>
          <w:color w:val="0000FF"/>
        </w:rPr>
        <w:t xml:space="preserve">, </w:t>
      </w:r>
      <w:r w:rsidR="00777C95" w:rsidRPr="00777C95">
        <w:rPr>
          <w:i/>
          <w:color w:val="0000FF"/>
        </w:rPr>
        <w:t>Center for the Application of Substance Abuse Technologies (CASAT)</w:t>
      </w:r>
    </w:p>
    <w:p w:rsidR="000B01A4" w:rsidRPr="00BE0DBD" w:rsidRDefault="000B01A4" w:rsidP="000B01A4">
      <w:pPr>
        <w:spacing w:after="0"/>
      </w:pPr>
    </w:p>
    <w:p w:rsidR="00C17F34" w:rsidRPr="00BE0DBD" w:rsidRDefault="00DC4C91" w:rsidP="000B01A4">
      <w:pPr>
        <w:pStyle w:val="ListParagraph"/>
        <w:numPr>
          <w:ilvl w:val="0"/>
          <w:numId w:val="1"/>
        </w:numPr>
        <w:spacing w:after="0"/>
      </w:pPr>
      <w:r w:rsidRPr="00BE0DBD">
        <w:t>Describe the r</w:t>
      </w:r>
      <w:r w:rsidR="000B01A4" w:rsidRPr="00BE0DBD">
        <w:t>ecommendation:</w:t>
      </w:r>
      <w:r w:rsidR="00316E2B" w:rsidRPr="00BE0DBD">
        <w:t xml:space="preserve">  </w:t>
      </w:r>
    </w:p>
    <w:p w:rsidR="00D16BD5" w:rsidRPr="00D658D5" w:rsidRDefault="00D16BD5" w:rsidP="00C17F34">
      <w:pPr>
        <w:spacing w:after="0"/>
        <w:rPr>
          <w:sz w:val="16"/>
        </w:rPr>
      </w:pPr>
    </w:p>
    <w:p w:rsidR="00C17F34" w:rsidRPr="00DB5054" w:rsidRDefault="00D16BD5" w:rsidP="007D0683">
      <w:pPr>
        <w:spacing w:after="0"/>
        <w:jc w:val="both"/>
        <w:rPr>
          <w:i/>
          <w:color w:val="0000FF"/>
        </w:rPr>
      </w:pPr>
      <w:r w:rsidRPr="00BE0DBD">
        <w:tab/>
      </w:r>
      <w:r w:rsidRPr="00DB5054">
        <w:rPr>
          <w:i/>
          <w:color w:val="0000FF"/>
        </w:rPr>
        <w:t>Develop, support, and fund education to the citizens of Nevada spec</w:t>
      </w:r>
      <w:r w:rsidR="00BE0DBD" w:rsidRPr="00DB5054">
        <w:rPr>
          <w:i/>
          <w:color w:val="0000FF"/>
        </w:rPr>
        <w:t xml:space="preserve">ific to recreational </w:t>
      </w:r>
      <w:r w:rsidR="00BE0DBD" w:rsidRPr="00DB5054">
        <w:rPr>
          <w:i/>
          <w:color w:val="0000FF"/>
        </w:rPr>
        <w:tab/>
        <w:t>marijuana and its impacts including:</w:t>
      </w:r>
    </w:p>
    <w:p w:rsidR="00C17F34" w:rsidRPr="00DB5054" w:rsidRDefault="00C17F34" w:rsidP="007D0683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Consumer education</w:t>
      </w:r>
      <w:r w:rsidR="00D34498" w:rsidRPr="00DB5054">
        <w:rPr>
          <w:i/>
          <w:color w:val="0000FF"/>
        </w:rPr>
        <w:t xml:space="preserve"> – dosage, THC content, age limitations, public usage, etc.</w:t>
      </w:r>
    </w:p>
    <w:p w:rsidR="00C17F34" w:rsidRPr="00DB5054" w:rsidRDefault="00C17F34" w:rsidP="007D0683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Workplace education</w:t>
      </w:r>
      <w:r w:rsidR="00D34498" w:rsidRPr="00DB5054">
        <w:rPr>
          <w:i/>
          <w:color w:val="0000FF"/>
        </w:rPr>
        <w:t xml:space="preserve"> – legality and safety</w:t>
      </w:r>
    </w:p>
    <w:p w:rsidR="00C17F34" w:rsidRPr="00DB5054" w:rsidRDefault="00C17F34" w:rsidP="007D0683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Health profession CEUs</w:t>
      </w:r>
      <w:r w:rsidR="00D34498" w:rsidRPr="00DB5054">
        <w:rPr>
          <w:i/>
          <w:color w:val="0000FF"/>
        </w:rPr>
        <w:t xml:space="preserve"> – messages specific to profession</w:t>
      </w:r>
    </w:p>
    <w:p w:rsidR="00D34498" w:rsidRPr="00DB5054" w:rsidRDefault="00C17F34" w:rsidP="007D0683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Targeted messaging to specific populations as determined by data (</w:t>
      </w:r>
      <w:r w:rsidR="00D34498" w:rsidRPr="00DB5054">
        <w:rPr>
          <w:i/>
          <w:color w:val="0000FF"/>
        </w:rPr>
        <w:t>ex: youth sub populations, pregnant women</w:t>
      </w:r>
      <w:r w:rsidR="007F16D4" w:rsidRPr="00DB5054">
        <w:rPr>
          <w:i/>
          <w:color w:val="0000FF"/>
        </w:rPr>
        <w:t>)</w:t>
      </w:r>
    </w:p>
    <w:p w:rsidR="004910D2" w:rsidRPr="00DB5054" w:rsidRDefault="004910D2" w:rsidP="007D0683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F</w:t>
      </w:r>
      <w:r w:rsidR="00D34498" w:rsidRPr="00DB5054">
        <w:rPr>
          <w:i/>
          <w:color w:val="0000FF"/>
        </w:rPr>
        <w:t xml:space="preserve">ederal </w:t>
      </w:r>
      <w:r w:rsidRPr="00DB5054">
        <w:rPr>
          <w:i/>
          <w:color w:val="0000FF"/>
        </w:rPr>
        <w:t>law education – usage on federal lands, etc.</w:t>
      </w:r>
    </w:p>
    <w:p w:rsidR="004910D2" w:rsidRPr="00DB5054" w:rsidRDefault="004910D2" w:rsidP="004910D2">
      <w:pPr>
        <w:spacing w:after="0"/>
        <w:rPr>
          <w:i/>
          <w:color w:val="0000FF"/>
        </w:rPr>
      </w:pPr>
    </w:p>
    <w:p w:rsidR="00BE0DBD" w:rsidRPr="00DB5054" w:rsidRDefault="00BE0DBD" w:rsidP="007D0683">
      <w:p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ab/>
        <w:t>Future work of the committee:</w:t>
      </w:r>
    </w:p>
    <w:p w:rsidR="00C41D70" w:rsidRPr="00DB5054" w:rsidRDefault="004910D2" w:rsidP="007D0683">
      <w:pPr>
        <w:pStyle w:val="ListParagraph"/>
        <w:numPr>
          <w:ilvl w:val="0"/>
          <w:numId w:val="6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Will look at medical marijuana educational programs and</w:t>
      </w:r>
      <w:r w:rsidR="00C41D70" w:rsidRPr="00DB5054">
        <w:rPr>
          <w:i/>
          <w:color w:val="0000FF"/>
        </w:rPr>
        <w:t xml:space="preserve"> either build on it or revise</w:t>
      </w:r>
      <w:r w:rsidR="00BE0DBD" w:rsidRPr="00DB5054">
        <w:rPr>
          <w:i/>
          <w:color w:val="0000FF"/>
        </w:rPr>
        <w:t xml:space="preserve"> to fit </w:t>
      </w:r>
      <w:r w:rsidRPr="00DB5054">
        <w:rPr>
          <w:i/>
          <w:color w:val="0000FF"/>
        </w:rPr>
        <w:t>recreational marijuana education needs.</w:t>
      </w:r>
    </w:p>
    <w:p w:rsidR="00C41D70" w:rsidRPr="00DB5054" w:rsidRDefault="00C41D70" w:rsidP="007D0683">
      <w:pPr>
        <w:pStyle w:val="ListParagraph"/>
        <w:numPr>
          <w:ilvl w:val="0"/>
          <w:numId w:val="6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 xml:space="preserve">Will look at medical marijuana signage and marketing limitations and either build on it or </w:t>
      </w:r>
      <w:r w:rsidR="00BE0DBD" w:rsidRPr="00DB5054">
        <w:rPr>
          <w:i/>
          <w:color w:val="0000FF"/>
        </w:rPr>
        <w:t xml:space="preserve">revise </w:t>
      </w:r>
      <w:r w:rsidRPr="00DB5054">
        <w:rPr>
          <w:i/>
          <w:color w:val="0000FF"/>
        </w:rPr>
        <w:t>to address recreational marijuana.</w:t>
      </w:r>
    </w:p>
    <w:p w:rsidR="003D7B27" w:rsidRPr="00DB5054" w:rsidRDefault="00C41D70" w:rsidP="007D0683">
      <w:pPr>
        <w:pStyle w:val="ListParagraph"/>
        <w:numPr>
          <w:ilvl w:val="0"/>
          <w:numId w:val="6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 xml:space="preserve">Will crosswalk with </w:t>
      </w:r>
      <w:r w:rsidR="003D7B27" w:rsidRPr="00DB5054">
        <w:rPr>
          <w:i/>
          <w:color w:val="0000FF"/>
        </w:rPr>
        <w:t>Operations/Production Workgroup to ensure safety labeling on products.</w:t>
      </w:r>
    </w:p>
    <w:p w:rsidR="00BE0DBD" w:rsidRPr="00DB5054" w:rsidRDefault="00C41D70" w:rsidP="007D0683">
      <w:pPr>
        <w:pStyle w:val="ListParagraph"/>
        <w:numPr>
          <w:ilvl w:val="0"/>
          <w:numId w:val="6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Will look at research and data to guide education/messaging.</w:t>
      </w:r>
    </w:p>
    <w:p w:rsidR="00C17F34" w:rsidRPr="00DB5054" w:rsidRDefault="00BE0DBD" w:rsidP="007D0683">
      <w:pPr>
        <w:pStyle w:val="ListParagraph"/>
        <w:numPr>
          <w:ilvl w:val="0"/>
          <w:numId w:val="6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Will identify vehicles to ensure access to current and accurate information (websites, etc.)</w:t>
      </w:r>
    </w:p>
    <w:p w:rsidR="00E9081E" w:rsidRPr="00BE0DBD" w:rsidRDefault="00E9081E" w:rsidP="00E9081E">
      <w:pPr>
        <w:pStyle w:val="ListParagraph"/>
        <w:spacing w:after="0"/>
      </w:pPr>
    </w:p>
    <w:p w:rsidR="00F0459F" w:rsidRPr="00BE0DBD" w:rsidRDefault="00DC4C91" w:rsidP="00E9081E">
      <w:pPr>
        <w:pStyle w:val="ListParagraph"/>
        <w:numPr>
          <w:ilvl w:val="0"/>
          <w:numId w:val="1"/>
        </w:numPr>
        <w:spacing w:after="0"/>
      </w:pPr>
      <w:r w:rsidRPr="00BE0DBD">
        <w:t>Which guiding p</w:t>
      </w:r>
      <w:r w:rsidR="00E9081E" w:rsidRPr="00BE0DBD">
        <w:t>rinciple(s) does this recommendation support?</w:t>
      </w:r>
      <w:r w:rsidR="00316E2B" w:rsidRPr="00BE0DBD">
        <w:t xml:space="preserve">  </w:t>
      </w:r>
    </w:p>
    <w:p w:rsidR="00F0459F" w:rsidRPr="00D658D5" w:rsidRDefault="00F0459F" w:rsidP="00F0459F">
      <w:pPr>
        <w:spacing w:after="0"/>
        <w:ind w:left="360"/>
        <w:rPr>
          <w:sz w:val="16"/>
        </w:rPr>
      </w:pPr>
      <w:r w:rsidRPr="00BE0DBD">
        <w:tab/>
      </w:r>
    </w:p>
    <w:p w:rsidR="00316E2B" w:rsidRDefault="00A26CD2" w:rsidP="00A26CD2">
      <w:pPr>
        <w:spacing w:after="0"/>
        <w:ind w:firstLine="720"/>
        <w:jc w:val="both"/>
        <w:rPr>
          <w:i/>
          <w:color w:val="0000FF"/>
        </w:rPr>
      </w:pPr>
      <w:r w:rsidRPr="00A26CD2">
        <w:rPr>
          <w:i/>
          <w:color w:val="0000FF"/>
        </w:rPr>
        <w:t>Guiding Principle 1 - P</w:t>
      </w:r>
      <w:r w:rsidR="00316E2B" w:rsidRPr="00A26CD2">
        <w:rPr>
          <w:i/>
          <w:color w:val="0000FF"/>
        </w:rPr>
        <w:t>romote the health, safety, and well-being of Nevada’s communities</w:t>
      </w:r>
    </w:p>
    <w:p w:rsidR="00A26CD2" w:rsidRPr="00A26CD2" w:rsidRDefault="00A26CD2" w:rsidP="00A26CD2">
      <w:pPr>
        <w:spacing w:after="0"/>
        <w:ind w:firstLine="720"/>
        <w:jc w:val="both"/>
        <w:rPr>
          <w:i/>
          <w:color w:val="0000FF"/>
        </w:rPr>
      </w:pPr>
    </w:p>
    <w:p w:rsidR="00316E2B" w:rsidRDefault="00A26CD2" w:rsidP="00A26CD2">
      <w:pPr>
        <w:spacing w:after="0"/>
        <w:ind w:left="720"/>
        <w:jc w:val="both"/>
        <w:rPr>
          <w:i/>
          <w:color w:val="0000FF"/>
        </w:rPr>
      </w:pPr>
      <w:r w:rsidRPr="00A26CD2">
        <w:rPr>
          <w:i/>
          <w:color w:val="0000FF"/>
        </w:rPr>
        <w:t>Guiding Principle 2</w:t>
      </w:r>
      <w:r w:rsidR="0056424B">
        <w:rPr>
          <w:i/>
          <w:color w:val="0000FF"/>
        </w:rPr>
        <w:t xml:space="preserve"> </w:t>
      </w:r>
      <w:r w:rsidRPr="00A26CD2">
        <w:rPr>
          <w:i/>
          <w:color w:val="0000FF"/>
        </w:rPr>
        <w:t>- B</w:t>
      </w:r>
      <w:r w:rsidR="00316E2B" w:rsidRPr="00A26CD2">
        <w:rPr>
          <w:i/>
          <w:color w:val="0000FF"/>
        </w:rPr>
        <w:t>e responsive to the needs and issues of consumers, non-con</w:t>
      </w:r>
      <w:r w:rsidR="007F16D4" w:rsidRPr="00A26CD2">
        <w:rPr>
          <w:i/>
          <w:color w:val="0000FF"/>
        </w:rPr>
        <w:t xml:space="preserve">sumers, local governments and </w:t>
      </w:r>
      <w:r w:rsidR="00316E2B" w:rsidRPr="00A26CD2">
        <w:rPr>
          <w:i/>
          <w:color w:val="0000FF"/>
        </w:rPr>
        <w:t>industry</w:t>
      </w:r>
    </w:p>
    <w:p w:rsidR="00A26CD2" w:rsidRPr="00A26CD2" w:rsidRDefault="00A26CD2" w:rsidP="00A26CD2">
      <w:pPr>
        <w:spacing w:after="0"/>
        <w:ind w:left="720"/>
        <w:jc w:val="both"/>
        <w:rPr>
          <w:i/>
          <w:color w:val="0000FF"/>
        </w:rPr>
      </w:pPr>
    </w:p>
    <w:p w:rsidR="00316E2B" w:rsidRPr="00A26CD2" w:rsidRDefault="00A26CD2" w:rsidP="00A26CD2">
      <w:pPr>
        <w:spacing w:after="0"/>
        <w:ind w:left="720"/>
        <w:jc w:val="both"/>
        <w:rPr>
          <w:i/>
          <w:color w:val="0000FF"/>
        </w:rPr>
      </w:pPr>
      <w:r>
        <w:rPr>
          <w:i/>
          <w:color w:val="0000FF"/>
        </w:rPr>
        <w:t>Guiding Principle</w:t>
      </w:r>
      <w:r w:rsidR="0056424B">
        <w:rPr>
          <w:i/>
          <w:color w:val="0000FF"/>
        </w:rPr>
        <w:t xml:space="preserve"> </w:t>
      </w:r>
      <w:r w:rsidR="00784DC5">
        <w:rPr>
          <w:i/>
          <w:color w:val="0000FF"/>
        </w:rPr>
        <w:t>3</w:t>
      </w:r>
      <w:r w:rsidR="00BE13AB">
        <w:rPr>
          <w:i/>
          <w:color w:val="0000FF"/>
        </w:rPr>
        <w:t xml:space="preserve"> </w:t>
      </w:r>
      <w:bookmarkStart w:id="0" w:name="_GoBack"/>
      <w:bookmarkEnd w:id="0"/>
      <w:r w:rsidR="005617FA">
        <w:rPr>
          <w:i/>
          <w:color w:val="0000FF"/>
        </w:rPr>
        <w:t>- Ensure</w:t>
      </w:r>
      <w:r w:rsidR="00316E2B" w:rsidRPr="00A26CD2">
        <w:rPr>
          <w:i/>
          <w:color w:val="0000FF"/>
        </w:rPr>
        <w:t xml:space="preserve"> that youth are protected from the risks associat</w:t>
      </w:r>
      <w:r w:rsidR="007F16D4" w:rsidRPr="00A26CD2">
        <w:rPr>
          <w:i/>
          <w:color w:val="0000FF"/>
        </w:rPr>
        <w:t xml:space="preserve">ed with marijuana, including </w:t>
      </w:r>
      <w:r w:rsidR="00316E2B" w:rsidRPr="00A26CD2">
        <w:rPr>
          <w:i/>
          <w:color w:val="0000FF"/>
        </w:rPr>
        <w:t>preventing the diversion of marijuana to anyone under the age of 21</w:t>
      </w:r>
    </w:p>
    <w:p w:rsidR="00E9081E" w:rsidRPr="00BE0DBD" w:rsidRDefault="00316E2B" w:rsidP="00F0459F">
      <w:pPr>
        <w:spacing w:after="0"/>
        <w:ind w:left="360"/>
      </w:pPr>
      <w:r w:rsidRPr="00BE0DBD">
        <w:tab/>
      </w:r>
    </w:p>
    <w:p w:rsidR="00E9081E" w:rsidRPr="00BE0DBD" w:rsidRDefault="00E9081E" w:rsidP="00E9081E">
      <w:pPr>
        <w:pStyle w:val="ListParagraph"/>
        <w:numPr>
          <w:ilvl w:val="0"/>
          <w:numId w:val="1"/>
        </w:numPr>
        <w:spacing w:after="0"/>
      </w:pPr>
      <w:r w:rsidRPr="00BE0DBD">
        <w:t xml:space="preserve">What provision(s) of Question 2 does this recommendation apply to?  </w:t>
      </w:r>
    </w:p>
    <w:p w:rsidR="00E9081E" w:rsidRPr="00D658D5" w:rsidRDefault="00E9081E" w:rsidP="00E9081E">
      <w:pPr>
        <w:pStyle w:val="ListParagraph"/>
        <w:spacing w:after="0"/>
        <w:rPr>
          <w:sz w:val="16"/>
        </w:rPr>
      </w:pPr>
    </w:p>
    <w:p w:rsidR="00F0459F" w:rsidRPr="00DB5054" w:rsidRDefault="00D268AD" w:rsidP="007D0683">
      <w:pPr>
        <w:pStyle w:val="ListParagraph"/>
        <w:numPr>
          <w:ilvl w:val="0"/>
          <w:numId w:val="2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Section 2.d</w:t>
      </w:r>
      <w:r w:rsidR="00F0459F" w:rsidRPr="00DB5054">
        <w:rPr>
          <w:i/>
          <w:color w:val="0000FF"/>
        </w:rPr>
        <w:t xml:space="preserve"> – selling or giving marijuana to persons under 21 years of age shall remain illegal</w:t>
      </w:r>
    </w:p>
    <w:p w:rsidR="00F0459F" w:rsidRPr="00DB5054" w:rsidRDefault="00F0459F" w:rsidP="007D0683">
      <w:pPr>
        <w:pStyle w:val="ListParagraph"/>
        <w:numPr>
          <w:ilvl w:val="0"/>
          <w:numId w:val="2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lastRenderedPageBreak/>
        <w:t>Sectio</w:t>
      </w:r>
      <w:r w:rsidR="00D268AD" w:rsidRPr="00DB5054">
        <w:rPr>
          <w:i/>
          <w:color w:val="0000FF"/>
        </w:rPr>
        <w:t>n 2.e</w:t>
      </w:r>
      <w:r w:rsidRPr="00DB5054">
        <w:rPr>
          <w:i/>
          <w:color w:val="0000FF"/>
        </w:rPr>
        <w:t xml:space="preserve"> – individuals will have to be 21 years of age or older to purchase marijuana</w:t>
      </w:r>
    </w:p>
    <w:p w:rsidR="00D268AD" w:rsidRPr="00DB5054" w:rsidRDefault="00D268AD" w:rsidP="007D0683">
      <w:pPr>
        <w:pStyle w:val="ListParagraph"/>
        <w:numPr>
          <w:ilvl w:val="0"/>
          <w:numId w:val="2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Section 4. 1.b – knowingly delivering, giving, selling, administering, or offering to sell, administer, give, or deliver marijuana to a person under 21 years of age</w:t>
      </w:r>
    </w:p>
    <w:p w:rsidR="003B1ECB" w:rsidRPr="00DB5054" w:rsidRDefault="00D268AD" w:rsidP="007D0683">
      <w:pPr>
        <w:pStyle w:val="ListParagraph"/>
        <w:numPr>
          <w:ilvl w:val="0"/>
          <w:numId w:val="2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 xml:space="preserve">Section 4.2.a – a public or private employer from maintaining, enacting, and enforcing a workplace policy prohibiting or restricting actions or conduct </w:t>
      </w:r>
    </w:p>
    <w:p w:rsidR="00091C3A" w:rsidRPr="00DB5054" w:rsidRDefault="003B1ECB" w:rsidP="007D0683">
      <w:pPr>
        <w:pStyle w:val="ListParagraph"/>
        <w:numPr>
          <w:ilvl w:val="0"/>
          <w:numId w:val="2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Section 5.1.h – reasonable restrictions on signage, marketing, display, and advertising</w:t>
      </w:r>
    </w:p>
    <w:p w:rsidR="00091C3A" w:rsidRPr="00DB5054" w:rsidRDefault="00091C3A" w:rsidP="007D0683">
      <w:pPr>
        <w:pStyle w:val="ListParagraph"/>
        <w:numPr>
          <w:ilvl w:val="0"/>
          <w:numId w:val="2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 xml:space="preserve">General education </w:t>
      </w:r>
      <w:r w:rsidR="003B1ECB" w:rsidRPr="00DB5054">
        <w:rPr>
          <w:i/>
          <w:color w:val="0000FF"/>
        </w:rPr>
        <w:t>as needed to consumers, non-consumers, targeted professions, and targeted populations</w:t>
      </w:r>
    </w:p>
    <w:p w:rsidR="00E9081E" w:rsidRPr="00BE0DBD" w:rsidRDefault="00E9081E" w:rsidP="00E9081E">
      <w:pPr>
        <w:pStyle w:val="ListParagraph"/>
        <w:spacing w:after="0"/>
      </w:pPr>
    </w:p>
    <w:p w:rsidR="007A4A8C" w:rsidRPr="00BE0DBD" w:rsidRDefault="00E9081E" w:rsidP="00E9081E">
      <w:pPr>
        <w:pStyle w:val="ListParagraph"/>
        <w:numPr>
          <w:ilvl w:val="0"/>
          <w:numId w:val="1"/>
        </w:numPr>
        <w:spacing w:after="0"/>
      </w:pPr>
      <w:r w:rsidRPr="00BE0DBD">
        <w:t>What issue(s) does the recommendation resolve?</w:t>
      </w:r>
    </w:p>
    <w:p w:rsidR="001B0ADC" w:rsidRPr="00D658D5" w:rsidRDefault="001B0ADC" w:rsidP="001B0ADC">
      <w:pPr>
        <w:spacing w:after="0"/>
        <w:rPr>
          <w:sz w:val="16"/>
        </w:rPr>
      </w:pPr>
    </w:p>
    <w:p w:rsidR="00F3618A" w:rsidRPr="00DB5054" w:rsidRDefault="003D7B27" w:rsidP="007D0683">
      <w:pPr>
        <w:spacing w:after="0"/>
        <w:jc w:val="both"/>
        <w:rPr>
          <w:i/>
          <w:color w:val="0000FF"/>
        </w:rPr>
      </w:pPr>
      <w:r w:rsidRPr="00BE0DBD">
        <w:tab/>
      </w:r>
      <w:r w:rsidRPr="00DB5054">
        <w:rPr>
          <w:i/>
          <w:color w:val="0000FF"/>
        </w:rPr>
        <w:t xml:space="preserve">The legalization of marijuana </w:t>
      </w:r>
      <w:r w:rsidR="00F3618A" w:rsidRPr="00DB5054">
        <w:rPr>
          <w:i/>
          <w:color w:val="0000FF"/>
        </w:rPr>
        <w:t xml:space="preserve">is likely to increase demand and usage, with effects on the general </w:t>
      </w:r>
      <w:r w:rsidR="00F3618A" w:rsidRPr="00DB5054">
        <w:rPr>
          <w:i/>
          <w:color w:val="0000FF"/>
        </w:rPr>
        <w:tab/>
        <w:t>public.  Citizens must have access to current and accurate information that will:</w:t>
      </w:r>
    </w:p>
    <w:p w:rsidR="003D7B27" w:rsidRPr="00DB5054" w:rsidRDefault="00F3618A" w:rsidP="007D0683">
      <w:pPr>
        <w:pStyle w:val="ListParagraph"/>
        <w:numPr>
          <w:ilvl w:val="0"/>
          <w:numId w:val="4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Allow</w:t>
      </w:r>
      <w:r w:rsidR="003D7B27" w:rsidRPr="00DB5054">
        <w:rPr>
          <w:i/>
          <w:color w:val="0000FF"/>
        </w:rPr>
        <w:t xml:space="preserve"> for the protection of those under 21 years of age</w:t>
      </w:r>
    </w:p>
    <w:p w:rsidR="003D7B27" w:rsidRPr="00DB5054" w:rsidRDefault="00D658D5" w:rsidP="007D0683">
      <w:pPr>
        <w:pStyle w:val="ListParagraph"/>
        <w:numPr>
          <w:ilvl w:val="0"/>
          <w:numId w:val="4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Protect</w:t>
      </w:r>
      <w:r w:rsidR="003D7B27" w:rsidRPr="00DB5054">
        <w:rPr>
          <w:i/>
          <w:color w:val="0000FF"/>
        </w:rPr>
        <w:t xml:space="preserve"> consumers of marijuana</w:t>
      </w:r>
    </w:p>
    <w:p w:rsidR="003D7B27" w:rsidRPr="00DB5054" w:rsidRDefault="00D658D5" w:rsidP="007D0683">
      <w:pPr>
        <w:pStyle w:val="ListParagraph"/>
        <w:numPr>
          <w:ilvl w:val="0"/>
          <w:numId w:val="4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Protect</w:t>
      </w:r>
      <w:r w:rsidR="003D7B27" w:rsidRPr="00DB5054">
        <w:rPr>
          <w:i/>
          <w:color w:val="0000FF"/>
        </w:rPr>
        <w:t xml:space="preserve"> vulnerable populations</w:t>
      </w:r>
    </w:p>
    <w:p w:rsidR="003D7B27" w:rsidRPr="00DB5054" w:rsidRDefault="003D7B27" w:rsidP="007D0683">
      <w:pPr>
        <w:pStyle w:val="ListParagraph"/>
        <w:numPr>
          <w:ilvl w:val="0"/>
          <w:numId w:val="4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Increases public knowledge and awareness</w:t>
      </w:r>
    </w:p>
    <w:p w:rsidR="00F3618A" w:rsidRPr="00DB5054" w:rsidRDefault="00D658D5" w:rsidP="007D0683">
      <w:pPr>
        <w:pStyle w:val="ListParagraph"/>
        <w:numPr>
          <w:ilvl w:val="0"/>
          <w:numId w:val="4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Provide</w:t>
      </w:r>
      <w:r w:rsidR="003D7B27" w:rsidRPr="00DB5054">
        <w:rPr>
          <w:i/>
          <w:color w:val="0000FF"/>
        </w:rPr>
        <w:t xml:space="preserve"> for workplace safety</w:t>
      </w:r>
    </w:p>
    <w:p w:rsidR="001B0ADC" w:rsidRPr="00DB5054" w:rsidRDefault="00F3618A" w:rsidP="007D0683">
      <w:pPr>
        <w:pStyle w:val="ListParagraph"/>
        <w:numPr>
          <w:ilvl w:val="0"/>
          <w:numId w:val="4"/>
        </w:numPr>
        <w:spacing w:after="0"/>
        <w:jc w:val="both"/>
        <w:rPr>
          <w:i/>
          <w:color w:val="0000FF"/>
        </w:rPr>
      </w:pPr>
      <w:r w:rsidRPr="00DB5054">
        <w:rPr>
          <w:i/>
          <w:color w:val="0000FF"/>
        </w:rPr>
        <w:t>Ensure certain professions are trained</w:t>
      </w:r>
    </w:p>
    <w:p w:rsidR="001B0ADC" w:rsidRPr="00BE0DBD" w:rsidRDefault="001B0ADC" w:rsidP="001B0ADC">
      <w:pPr>
        <w:spacing w:after="0"/>
      </w:pPr>
    </w:p>
    <w:p w:rsidR="003B1ECB" w:rsidRPr="00BE0DBD" w:rsidRDefault="001B0ADC" w:rsidP="001B0ADC">
      <w:pPr>
        <w:pStyle w:val="ListParagraph"/>
        <w:numPr>
          <w:ilvl w:val="0"/>
          <w:numId w:val="1"/>
        </w:numPr>
        <w:spacing w:after="0"/>
      </w:pPr>
      <w:r w:rsidRPr="00BE0DBD">
        <w:t>Was there dissent in the group regarding this recommendation?  If yes, please provide a summary of the dissenting opinion regarding the recommendation.</w:t>
      </w:r>
    </w:p>
    <w:p w:rsidR="003B1ECB" w:rsidRPr="00D658D5" w:rsidRDefault="003B1ECB" w:rsidP="003B1ECB">
      <w:pPr>
        <w:spacing w:after="0"/>
        <w:ind w:left="360"/>
        <w:rPr>
          <w:sz w:val="16"/>
        </w:rPr>
      </w:pPr>
    </w:p>
    <w:p w:rsidR="001B0ADC" w:rsidRPr="00DB5054" w:rsidRDefault="003B1ECB" w:rsidP="007D0683">
      <w:pPr>
        <w:spacing w:after="0"/>
        <w:ind w:left="360"/>
        <w:jc w:val="both"/>
        <w:rPr>
          <w:i/>
          <w:color w:val="0000FF"/>
        </w:rPr>
      </w:pPr>
      <w:r w:rsidRPr="00BE0DBD">
        <w:tab/>
      </w:r>
      <w:r w:rsidRPr="00DB5054">
        <w:rPr>
          <w:i/>
          <w:color w:val="0000FF"/>
        </w:rPr>
        <w:t xml:space="preserve">No dissent from full working group at 1st meeting.  Public comment was in favor providing </w:t>
      </w:r>
      <w:r w:rsidRPr="00DB5054">
        <w:rPr>
          <w:i/>
          <w:color w:val="0000FF"/>
        </w:rPr>
        <w:tab/>
        <w:t>support for dispensary signage on impacts of increased THC levels</w:t>
      </w:r>
      <w:r w:rsidR="008F2A80" w:rsidRPr="00DB5054">
        <w:rPr>
          <w:i/>
          <w:color w:val="0000FF"/>
        </w:rPr>
        <w:t xml:space="preserve"> and dosage risks; education </w:t>
      </w:r>
      <w:r w:rsidR="008F2A80" w:rsidRPr="00DB5054">
        <w:rPr>
          <w:i/>
          <w:color w:val="0000FF"/>
        </w:rPr>
        <w:tab/>
        <w:t>tailored to specific public sectors; increased education to retailers and cultivators; and second-</w:t>
      </w:r>
      <w:r w:rsidR="008F2A80" w:rsidRPr="00DB5054">
        <w:rPr>
          <w:i/>
          <w:color w:val="0000FF"/>
        </w:rPr>
        <w:tab/>
        <w:t>hand smoke education.</w:t>
      </w:r>
    </w:p>
    <w:p w:rsidR="00E9081E" w:rsidRPr="00BE0DBD" w:rsidRDefault="00E9081E" w:rsidP="00E9081E">
      <w:pPr>
        <w:spacing w:after="0"/>
      </w:pPr>
    </w:p>
    <w:p w:rsidR="003B1ECB" w:rsidRPr="00BE0DBD" w:rsidRDefault="00E9081E" w:rsidP="007A4A8C">
      <w:pPr>
        <w:pStyle w:val="ListParagraph"/>
        <w:numPr>
          <w:ilvl w:val="0"/>
          <w:numId w:val="1"/>
        </w:numPr>
        <w:spacing w:after="0"/>
      </w:pPr>
      <w:r w:rsidRPr="00BE0DBD">
        <w:t>What action(</w:t>
      </w:r>
      <w:r w:rsidR="00B70E4E" w:rsidRPr="00BE0DBD">
        <w:t>s</w:t>
      </w:r>
      <w:r w:rsidRPr="00BE0DBD">
        <w:t>)</w:t>
      </w:r>
      <w:r w:rsidR="00B70E4E" w:rsidRPr="00BE0DBD">
        <w:t xml:space="preserve"> </w:t>
      </w:r>
      <w:r w:rsidRPr="00BE0DBD">
        <w:t>will be necessary to a</w:t>
      </w:r>
      <w:r w:rsidR="006B0A7E" w:rsidRPr="00BE0DBD">
        <w:t>dopt the recommendation?  Will statute, policy, r</w:t>
      </w:r>
      <w:r w:rsidRPr="00BE0DBD">
        <w:t>egulations, etc. need to be addressed?</w:t>
      </w:r>
    </w:p>
    <w:p w:rsidR="003B1ECB" w:rsidRPr="00D658D5" w:rsidRDefault="003B1ECB" w:rsidP="003B1ECB">
      <w:pPr>
        <w:spacing w:after="0"/>
        <w:ind w:left="360"/>
        <w:rPr>
          <w:sz w:val="16"/>
        </w:rPr>
      </w:pPr>
    </w:p>
    <w:p w:rsidR="00E9081E" w:rsidRPr="00DB5054" w:rsidRDefault="003B1ECB" w:rsidP="007D0683">
      <w:pPr>
        <w:spacing w:after="0"/>
        <w:ind w:left="360"/>
        <w:jc w:val="both"/>
        <w:rPr>
          <w:i/>
          <w:color w:val="0000FF"/>
        </w:rPr>
      </w:pPr>
      <w:r w:rsidRPr="00BE0DBD">
        <w:tab/>
      </w:r>
      <w:r w:rsidRPr="00DB5054">
        <w:rPr>
          <w:i/>
          <w:color w:val="0000FF"/>
        </w:rPr>
        <w:t>Not determined as of yet.</w:t>
      </w:r>
    </w:p>
    <w:p w:rsidR="00E9081E" w:rsidRPr="00BE0DBD" w:rsidRDefault="00E9081E" w:rsidP="00E9081E">
      <w:pPr>
        <w:pStyle w:val="ListParagraph"/>
        <w:spacing w:after="0"/>
      </w:pPr>
    </w:p>
    <w:p w:rsidR="00E9081E" w:rsidRPr="00BE0DBD" w:rsidRDefault="00E9081E" w:rsidP="00E9081E">
      <w:pPr>
        <w:pStyle w:val="ListParagraph"/>
        <w:spacing w:after="0"/>
      </w:pPr>
    </w:p>
    <w:p w:rsidR="003B1ECB" w:rsidRPr="00BE0DBD" w:rsidRDefault="00CC30A8" w:rsidP="007A4A8C">
      <w:pPr>
        <w:pStyle w:val="ListParagraph"/>
        <w:numPr>
          <w:ilvl w:val="0"/>
          <w:numId w:val="1"/>
        </w:numPr>
        <w:spacing w:after="0"/>
      </w:pPr>
      <w:r w:rsidRPr="00BE0DBD">
        <w:t xml:space="preserve">Additional information (cost of implementation, priority according to the recommendations, </w:t>
      </w:r>
      <w:proofErr w:type="spellStart"/>
      <w:r w:rsidRPr="00BE0DBD">
        <w:t>etc</w:t>
      </w:r>
      <w:proofErr w:type="spellEnd"/>
      <w:r w:rsidRPr="00BE0DBD">
        <w:t>)</w:t>
      </w:r>
      <w:r w:rsidR="00B70E4E" w:rsidRPr="00BE0DBD">
        <w:t>.</w:t>
      </w:r>
    </w:p>
    <w:p w:rsidR="003B1ECB" w:rsidRPr="00D658D5" w:rsidRDefault="003B1ECB" w:rsidP="003B1ECB">
      <w:pPr>
        <w:spacing w:after="0"/>
        <w:ind w:left="360"/>
        <w:rPr>
          <w:sz w:val="16"/>
        </w:rPr>
      </w:pPr>
    </w:p>
    <w:p w:rsidR="00DD1A10" w:rsidRPr="00DB5054" w:rsidRDefault="003B1ECB" w:rsidP="007D0683">
      <w:pPr>
        <w:spacing w:after="0"/>
        <w:ind w:left="360"/>
        <w:jc w:val="both"/>
        <w:rPr>
          <w:i/>
          <w:color w:val="0000FF"/>
        </w:rPr>
      </w:pPr>
      <w:r w:rsidRPr="00BE0DBD">
        <w:tab/>
      </w:r>
      <w:r w:rsidRPr="00DB5054">
        <w:rPr>
          <w:i/>
          <w:color w:val="0000FF"/>
        </w:rPr>
        <w:t>Not determined as of yet.</w:t>
      </w:r>
    </w:p>
    <w:p w:rsidR="00753FA6" w:rsidRPr="00DB5054" w:rsidRDefault="00753FA6" w:rsidP="00DB5054">
      <w:pPr>
        <w:spacing w:after="0"/>
        <w:ind w:left="360"/>
        <w:rPr>
          <w:i/>
          <w:color w:val="0000FF"/>
        </w:rPr>
      </w:pPr>
    </w:p>
    <w:sectPr w:rsidR="00753FA6" w:rsidRPr="00DB5054" w:rsidSect="00F310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8D" w:rsidRDefault="0008498D" w:rsidP="00391997">
      <w:pPr>
        <w:spacing w:after="0" w:line="240" w:lineRule="auto"/>
      </w:pPr>
      <w:r>
        <w:separator/>
      </w:r>
    </w:p>
  </w:endnote>
  <w:endnote w:type="continuationSeparator" w:id="0">
    <w:p w:rsidR="0008498D" w:rsidRDefault="0008498D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D4" w:rsidRPr="00F43822" w:rsidRDefault="00DB5054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-36831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C23A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A26CD2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Education - </w:t>
    </w:r>
    <w:r w:rsidR="00A11FC1">
      <w:rPr>
        <w:rFonts w:ascii="Calibri" w:eastAsia="Times New Roman" w:hAnsi="Calibri" w:cs="Times New Roman"/>
        <w:b/>
        <w:i/>
        <w:color w:val="3737A5"/>
        <w:sz w:val="16"/>
        <w:szCs w:val="16"/>
      </w:rPr>
      <w:t>Recommendation</w:t>
    </w:r>
    <w:r w:rsidR="00A26CD2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</w:t>
    </w:r>
    <w:r w:rsidR="007F16D4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7F16D4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7F16D4">
      <w:rPr>
        <w:rFonts w:ascii="Calibri" w:eastAsia="Times New Roman" w:hAnsi="Calibri" w:cs="Times New Roman"/>
        <w:bCs/>
        <w:i/>
        <w:color w:val="3737A5"/>
        <w:sz w:val="16"/>
        <w:szCs w:val="16"/>
      </w:rPr>
      <w:t>March 17, 2017</w:t>
    </w:r>
  </w:p>
  <w:p w:rsidR="007F16D4" w:rsidRPr="00F43822" w:rsidRDefault="007F16D4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:rsidR="007F16D4" w:rsidRDefault="007F1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8D" w:rsidRDefault="0008498D" w:rsidP="00391997">
      <w:pPr>
        <w:spacing w:after="0" w:line="240" w:lineRule="auto"/>
      </w:pPr>
      <w:r>
        <w:separator/>
      </w:r>
    </w:p>
  </w:footnote>
  <w:footnote w:type="continuationSeparator" w:id="0">
    <w:p w:rsidR="0008498D" w:rsidRDefault="0008498D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D4" w:rsidRPr="00F43822" w:rsidRDefault="007C6C08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Education</w:t>
    </w:r>
    <w:r w:rsidR="007D0683">
      <w:rPr>
        <w:sz w:val="22"/>
        <w:szCs w:val="22"/>
      </w:rPr>
      <w:t xml:space="preserve"> - Recommendation</w:t>
    </w:r>
  </w:p>
  <w:p w:rsidR="007F16D4" w:rsidRDefault="007F16D4" w:rsidP="008313F9">
    <w:pPr>
      <w:pStyle w:val="Header"/>
      <w:jc w:val="center"/>
    </w:pPr>
    <w:r>
      <w:rPr>
        <w:noProof/>
      </w:rPr>
      <w:drawing>
        <wp:inline distT="0" distB="0" distL="0" distR="0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4E8"/>
    <w:multiLevelType w:val="hybridMultilevel"/>
    <w:tmpl w:val="6E147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D26AA"/>
    <w:multiLevelType w:val="hybridMultilevel"/>
    <w:tmpl w:val="F024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1C4C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0D0D"/>
    <w:multiLevelType w:val="hybridMultilevel"/>
    <w:tmpl w:val="D7567F02"/>
    <w:lvl w:ilvl="0" w:tplc="5F5A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409E3"/>
    <w:multiLevelType w:val="hybridMultilevel"/>
    <w:tmpl w:val="E4D2E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84126"/>
    <w:multiLevelType w:val="hybridMultilevel"/>
    <w:tmpl w:val="3496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15049"/>
    <w:multiLevelType w:val="hybridMultilevel"/>
    <w:tmpl w:val="724C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2A3285"/>
    <w:multiLevelType w:val="hybridMultilevel"/>
    <w:tmpl w:val="C140608A"/>
    <w:lvl w:ilvl="0" w:tplc="5F5A8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60468"/>
    <w:rsid w:val="0008498D"/>
    <w:rsid w:val="00091C3A"/>
    <w:rsid w:val="000A61D0"/>
    <w:rsid w:val="000B01A4"/>
    <w:rsid w:val="000F660E"/>
    <w:rsid w:val="00114EF2"/>
    <w:rsid w:val="001866F9"/>
    <w:rsid w:val="001B0ADC"/>
    <w:rsid w:val="001B10FF"/>
    <w:rsid w:val="00202E4C"/>
    <w:rsid w:val="0023729A"/>
    <w:rsid w:val="003110FB"/>
    <w:rsid w:val="00316E2B"/>
    <w:rsid w:val="00391997"/>
    <w:rsid w:val="003B1ECB"/>
    <w:rsid w:val="003D7B27"/>
    <w:rsid w:val="004039AB"/>
    <w:rsid w:val="00435662"/>
    <w:rsid w:val="00442A3F"/>
    <w:rsid w:val="004910D2"/>
    <w:rsid w:val="00556A46"/>
    <w:rsid w:val="005617FA"/>
    <w:rsid w:val="0056424B"/>
    <w:rsid w:val="00565923"/>
    <w:rsid w:val="005E102D"/>
    <w:rsid w:val="006B0A7E"/>
    <w:rsid w:val="006D4662"/>
    <w:rsid w:val="00700DCA"/>
    <w:rsid w:val="00753FA6"/>
    <w:rsid w:val="007746E2"/>
    <w:rsid w:val="00774894"/>
    <w:rsid w:val="007765FD"/>
    <w:rsid w:val="00777C95"/>
    <w:rsid w:val="00784DC5"/>
    <w:rsid w:val="007A4A8C"/>
    <w:rsid w:val="007C6C08"/>
    <w:rsid w:val="007D0683"/>
    <w:rsid w:val="007D5C57"/>
    <w:rsid w:val="007F16D4"/>
    <w:rsid w:val="008313F9"/>
    <w:rsid w:val="00882EE9"/>
    <w:rsid w:val="008D5094"/>
    <w:rsid w:val="008F0634"/>
    <w:rsid w:val="008F2A80"/>
    <w:rsid w:val="009201F4"/>
    <w:rsid w:val="009264B2"/>
    <w:rsid w:val="00957E83"/>
    <w:rsid w:val="00961D8A"/>
    <w:rsid w:val="009805E6"/>
    <w:rsid w:val="00996A51"/>
    <w:rsid w:val="009D1938"/>
    <w:rsid w:val="00A11FC1"/>
    <w:rsid w:val="00A26CD2"/>
    <w:rsid w:val="00A312E6"/>
    <w:rsid w:val="00A65F54"/>
    <w:rsid w:val="00AB71F7"/>
    <w:rsid w:val="00B11C15"/>
    <w:rsid w:val="00B70E4E"/>
    <w:rsid w:val="00BC0B03"/>
    <w:rsid w:val="00BC0F10"/>
    <w:rsid w:val="00BE0DBD"/>
    <w:rsid w:val="00BE13AB"/>
    <w:rsid w:val="00BF6BBC"/>
    <w:rsid w:val="00C17F34"/>
    <w:rsid w:val="00C41D70"/>
    <w:rsid w:val="00CC30A8"/>
    <w:rsid w:val="00D16BD5"/>
    <w:rsid w:val="00D22E65"/>
    <w:rsid w:val="00D268AD"/>
    <w:rsid w:val="00D34498"/>
    <w:rsid w:val="00D658D5"/>
    <w:rsid w:val="00D926ED"/>
    <w:rsid w:val="00DA287B"/>
    <w:rsid w:val="00DB5054"/>
    <w:rsid w:val="00DC4C91"/>
    <w:rsid w:val="00DD1A10"/>
    <w:rsid w:val="00DE0ABD"/>
    <w:rsid w:val="00E9081E"/>
    <w:rsid w:val="00E96CEA"/>
    <w:rsid w:val="00EC03A5"/>
    <w:rsid w:val="00F0459F"/>
    <w:rsid w:val="00F046BC"/>
    <w:rsid w:val="00F20A37"/>
    <w:rsid w:val="00F27CF2"/>
    <w:rsid w:val="00F3108D"/>
    <w:rsid w:val="00F3618A"/>
    <w:rsid w:val="00F43822"/>
    <w:rsid w:val="00FC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7F6E6-2151-4356-BED0-CF437879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E481-D9B6-49D1-8439-53A9A501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20</cp:revision>
  <cp:lastPrinted>2017-03-31T01:00:00Z</cp:lastPrinted>
  <dcterms:created xsi:type="dcterms:W3CDTF">2017-03-31T00:39:00Z</dcterms:created>
  <dcterms:modified xsi:type="dcterms:W3CDTF">2017-03-31T01:12:00Z</dcterms:modified>
</cp:coreProperties>
</file>